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4A" w:rsidRDefault="002F5CE3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46"/>
        <w:gridCol w:w="3135"/>
        <w:gridCol w:w="3822"/>
      </w:tblGrid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Филозофија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Педагошка пракса 2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Pr="0082244E" w:rsidRDefault="002F5CE3">
            <w:pPr>
              <w:pStyle w:val="normal0"/>
              <w:tabs>
                <w:tab w:val="left" w:pos="567"/>
              </w:tabs>
              <w:spacing w:before="40" w:after="40"/>
              <w:rPr>
                <w:color w:val="FF0000"/>
                <w:lang/>
              </w:rPr>
            </w:pPr>
            <w:r>
              <w:rPr>
                <w:b/>
              </w:rPr>
              <w:t xml:space="preserve">Наставник/наставници: </w:t>
            </w:r>
            <w:r w:rsidR="0082244E" w:rsidRPr="00B4097F">
              <w:rPr>
                <w:lang/>
              </w:rPr>
              <w:t>Иван Николић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ОБ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3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 xml:space="preserve"> Уписан VI семестар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  <w:rPr>
                <w:b/>
                <w:lang/>
              </w:rPr>
            </w:pPr>
            <w:r>
              <w:rPr>
                <w:b/>
              </w:rPr>
              <w:t>Циљ предмета</w:t>
            </w:r>
          </w:p>
          <w:p w:rsidR="00BA464A" w:rsidRPr="00B4097F" w:rsidRDefault="0082244E" w:rsidP="002C7E83">
            <w:pPr>
              <w:pStyle w:val="normal0"/>
              <w:tabs>
                <w:tab w:val="left" w:pos="567"/>
              </w:tabs>
              <w:spacing w:after="60"/>
              <w:ind w:firstLine="567"/>
              <w:jc w:val="both"/>
              <w:rPr>
                <w:lang/>
              </w:rPr>
            </w:pPr>
            <w:r w:rsidRPr="00B4097F">
              <w:t>Циљ</w:t>
            </w:r>
            <w:r w:rsidRPr="00B4097F">
              <w:rPr>
                <w:b/>
              </w:rPr>
              <w:t xml:space="preserve"> </w:t>
            </w:r>
            <w:r w:rsidRPr="00B4097F">
              <w:rPr>
                <w:i/>
              </w:rPr>
              <w:t xml:space="preserve">Педагошке праксе </w:t>
            </w:r>
            <w:r w:rsidRPr="00B4097F">
              <w:rPr>
                <w:i/>
                <w:lang/>
              </w:rPr>
              <w:t>2</w:t>
            </w:r>
            <w:r w:rsidRPr="00B4097F">
              <w:t xml:space="preserve"> је да студенти упознају начин израде годишњег плана рада из предмета </w:t>
            </w:r>
            <w:r w:rsidRPr="00B4097F">
              <w:rPr>
                <w:lang/>
              </w:rPr>
              <w:t>Медицинска етика</w:t>
            </w:r>
            <w:r w:rsidRPr="00B4097F">
              <w:t xml:space="preserve"> за </w:t>
            </w:r>
            <w:r w:rsidRPr="00B4097F">
              <w:rPr>
                <w:lang/>
              </w:rPr>
              <w:t xml:space="preserve">други разред </w:t>
            </w:r>
            <w:r w:rsidR="00A41FD1" w:rsidRPr="00B4097F">
              <w:rPr>
                <w:lang/>
              </w:rPr>
              <w:t>Медицинске школе</w:t>
            </w:r>
            <w:r w:rsidRPr="00B4097F">
              <w:t>, основну структуру реализације неких од наставних јединица, специфичности метода наставног процеса за овај предмет, неке од облика успостављања дисциплине и начине оцењивања и вредновања знања ученика из овог предмета.</w:t>
            </w:r>
            <w:r w:rsidR="00F22460" w:rsidRPr="00B4097F">
              <w:rPr>
                <w:lang/>
              </w:rPr>
              <w:t xml:space="preserve"> Упознајући се са горенаведеним</w:t>
            </w:r>
            <w:r w:rsidR="001875D6" w:rsidRPr="00B4097F">
              <w:rPr>
                <w:lang/>
              </w:rPr>
              <w:t>,</w:t>
            </w:r>
            <w:r w:rsidR="00F22460" w:rsidRPr="00B4097F">
              <w:rPr>
                <w:lang/>
              </w:rPr>
              <w:t xml:space="preserve"> ученици ће бити иницирани да упоређују искуство из </w:t>
            </w:r>
            <w:r w:rsidR="00F22460" w:rsidRPr="00B4097F">
              <w:rPr>
                <w:i/>
                <w:lang/>
              </w:rPr>
              <w:t>Педагошке праксе 1</w:t>
            </w:r>
            <w:r w:rsidR="00F22460" w:rsidRPr="00B4097F">
              <w:rPr>
                <w:lang/>
              </w:rPr>
              <w:t xml:space="preserve"> са искуствима из </w:t>
            </w:r>
            <w:r w:rsidR="00F22460" w:rsidRPr="00B4097F">
              <w:rPr>
                <w:i/>
                <w:lang/>
              </w:rPr>
              <w:t>Педагошке праксе 2</w:t>
            </w:r>
            <w:r w:rsidR="00381CFA" w:rsidRPr="00B4097F">
              <w:rPr>
                <w:lang/>
              </w:rPr>
              <w:t>, како у погледу специфичности наставног садржаја, тако и у погледу наставничког приступа појединим темама.</w:t>
            </w:r>
            <w:r w:rsidR="00F22460" w:rsidRPr="00B4097F">
              <w:rPr>
                <w:lang/>
              </w:rPr>
              <w:t xml:space="preserve"> </w:t>
            </w:r>
          </w:p>
        </w:tc>
      </w:tr>
      <w:tr w:rsidR="00BA464A" w:rsidRPr="00B4097F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Pr="00B4097F" w:rsidRDefault="002F5CE3">
            <w:pPr>
              <w:pStyle w:val="normal0"/>
              <w:tabs>
                <w:tab w:val="left" w:pos="567"/>
              </w:tabs>
              <w:spacing w:after="60"/>
            </w:pPr>
            <w:r w:rsidRPr="00B4097F">
              <w:rPr>
                <w:b/>
              </w:rPr>
              <w:t xml:space="preserve">Исход предмета </w:t>
            </w:r>
          </w:p>
          <w:p w:rsidR="00BA464A" w:rsidRPr="00B4097F" w:rsidRDefault="002F5CE3" w:rsidP="00122940">
            <w:pPr>
              <w:pStyle w:val="normal0"/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B4097F">
              <w:t xml:space="preserve">- студент ће након завршетка </w:t>
            </w:r>
            <w:r w:rsidRPr="00B4097F">
              <w:rPr>
                <w:i/>
              </w:rPr>
              <w:t>Педагошке праксе 2</w:t>
            </w:r>
            <w:r w:rsidRPr="00B4097F">
              <w:t xml:space="preserve"> бити у стању да </w:t>
            </w:r>
            <w:r w:rsidR="00F22460" w:rsidRPr="00B4097F">
              <w:rPr>
                <w:lang/>
              </w:rPr>
              <w:t>анализира и утврди специфично</w:t>
            </w:r>
            <w:r w:rsidR="00AC62DD" w:rsidRPr="00B4097F">
              <w:rPr>
                <w:lang/>
              </w:rPr>
              <w:t>сти наставе из Медицинске етике;</w:t>
            </w:r>
          </w:p>
          <w:p w:rsidR="00BA464A" w:rsidRPr="00B4097F" w:rsidRDefault="002F5CE3" w:rsidP="00122940">
            <w:pPr>
              <w:pStyle w:val="normal0"/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B4097F">
              <w:t xml:space="preserve">- студент ће моћи да </w:t>
            </w:r>
            <w:r w:rsidR="00F22460" w:rsidRPr="00B4097F">
              <w:rPr>
                <w:lang/>
              </w:rPr>
              <w:t>особености наставе из овог предмета упореди са с</w:t>
            </w:r>
            <w:r w:rsidR="00381CFA" w:rsidRPr="00B4097F">
              <w:rPr>
                <w:lang/>
              </w:rPr>
              <w:t>пецифичностима наставе из Филоз</w:t>
            </w:r>
            <w:r w:rsidR="00AC62DD" w:rsidRPr="00B4097F">
              <w:rPr>
                <w:lang/>
              </w:rPr>
              <w:t>офије за трећи разред гимназије;</w:t>
            </w:r>
          </w:p>
          <w:p w:rsidR="00381CFA" w:rsidRPr="00B4097F" w:rsidRDefault="00381CFA" w:rsidP="00122940">
            <w:pPr>
              <w:pStyle w:val="normal0"/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B4097F">
              <w:rPr>
                <w:lang/>
              </w:rPr>
              <w:t>- студент ће стећи додатан увид у начине успостављања дисциплине и то посебно у ас</w:t>
            </w:r>
            <w:r w:rsidR="00AC62DD" w:rsidRPr="00B4097F">
              <w:rPr>
                <w:lang/>
              </w:rPr>
              <w:t>пекту вођења дискусија и дебата и</w:t>
            </w:r>
          </w:p>
          <w:p w:rsidR="00BA464A" w:rsidRPr="00B4097F" w:rsidRDefault="00AD7C21" w:rsidP="00122940">
            <w:pPr>
              <w:pStyle w:val="normal0"/>
              <w:tabs>
                <w:tab w:val="left" w:pos="567"/>
              </w:tabs>
              <w:spacing w:after="60"/>
              <w:jc w:val="both"/>
              <w:rPr>
                <w:lang/>
              </w:rPr>
            </w:pPr>
            <w:r w:rsidRPr="00B4097F">
              <w:rPr>
                <w:lang/>
              </w:rPr>
              <w:t>- студент ће препознати значај дебатовања и критичког промишљања о</w:t>
            </w:r>
            <w:r w:rsidR="00122940" w:rsidRPr="00B4097F">
              <w:rPr>
                <w:lang/>
              </w:rPr>
              <w:t xml:space="preserve"> медицинским проблемима и утицај филозофије на разрешење истих, пре свега кроз препознавање структуре исправног дебатовања и аргументовања.</w:t>
            </w:r>
          </w:p>
        </w:tc>
      </w:tr>
      <w:tr w:rsidR="00BA464A" w:rsidTr="001C6855">
        <w:trPr>
          <w:trHeight w:val="2205"/>
          <w:jc w:val="center"/>
        </w:trPr>
        <w:tc>
          <w:tcPr>
            <w:tcW w:w="10103" w:type="dxa"/>
            <w:gridSpan w:val="3"/>
            <w:tcBorders>
              <w:bottom w:val="single" w:sz="4" w:space="0" w:color="auto"/>
            </w:tcBorders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  <w:rPr>
                <w:b/>
                <w:lang/>
              </w:rPr>
            </w:pPr>
            <w:r>
              <w:rPr>
                <w:b/>
              </w:rPr>
              <w:t>Садржај предмета</w:t>
            </w:r>
          </w:p>
          <w:p w:rsidR="00BA464A" w:rsidRPr="00B4097F" w:rsidRDefault="00122940" w:rsidP="00300E9C">
            <w:pPr>
              <w:pStyle w:val="normal0"/>
              <w:ind w:firstLine="720"/>
              <w:jc w:val="both"/>
              <w:rPr>
                <w:lang/>
              </w:rPr>
            </w:pPr>
            <w:r w:rsidRPr="00B4097F">
              <w:t xml:space="preserve">Садржајем курса предвиђено је да се пракса обавља у </w:t>
            </w:r>
            <w:r w:rsidRPr="00B4097F">
              <w:rPr>
                <w:lang/>
              </w:rPr>
              <w:t>Медицинској школи</w:t>
            </w:r>
            <w:r w:rsidRPr="00B4097F">
              <w:t xml:space="preserve">. </w:t>
            </w:r>
            <w:r w:rsidRPr="00B4097F">
              <w:rPr>
                <w:i/>
              </w:rPr>
              <w:t>Педагошка пракса</w:t>
            </w:r>
            <w:r w:rsidRPr="00B4097F">
              <w:rPr>
                <w:i/>
                <w:lang/>
              </w:rPr>
              <w:t xml:space="preserve"> 2</w:t>
            </w:r>
            <w:r w:rsidRPr="00B4097F">
              <w:t xml:space="preserve"> се реализује кроз праћење и посматрање образовно-васпитне активности из предмета </w:t>
            </w:r>
            <w:r w:rsidRPr="00B4097F">
              <w:rPr>
                <w:lang/>
              </w:rPr>
              <w:t>Медицинска етика</w:t>
            </w:r>
            <w:r w:rsidRPr="00B4097F">
              <w:t xml:space="preserve"> за </w:t>
            </w:r>
            <w:r w:rsidRPr="00B4097F">
              <w:rPr>
                <w:lang/>
              </w:rPr>
              <w:t xml:space="preserve">други </w:t>
            </w:r>
            <w:r w:rsidRPr="00B4097F">
              <w:t xml:space="preserve"> разред </w:t>
            </w:r>
            <w:r w:rsidRPr="00B4097F">
              <w:rPr>
                <w:lang/>
              </w:rPr>
              <w:t>Медицинске школе</w:t>
            </w:r>
            <w:r w:rsidRPr="00B4097F">
              <w:t xml:space="preserve"> и одвија се под надзором предметног наставника. Пракса обухвата и консултације са предметним наставником, као и писање извештаја о обав</w:t>
            </w:r>
            <w:r w:rsidR="00300E9C" w:rsidRPr="00B4097F">
              <w:t xml:space="preserve">љеној пракси. </w:t>
            </w:r>
            <w:r w:rsidR="00300E9C" w:rsidRPr="00B4097F">
              <w:rPr>
                <w:i/>
              </w:rPr>
              <w:t xml:space="preserve">Педагошка пракса </w:t>
            </w:r>
            <w:r w:rsidR="00300E9C" w:rsidRPr="00B4097F">
              <w:rPr>
                <w:i/>
                <w:lang/>
              </w:rPr>
              <w:t>2</w:t>
            </w:r>
            <w:r w:rsidR="00300E9C" w:rsidRPr="00B4097F">
              <w:rPr>
                <w:lang/>
              </w:rPr>
              <w:t xml:space="preserve"> </w:t>
            </w:r>
            <w:r w:rsidR="00172926" w:rsidRPr="00B4097F">
              <w:rPr>
                <w:lang/>
              </w:rPr>
              <w:t>пружа студентима специфичне могућности и потребне компетенције за упоређивање претходних искустава</w:t>
            </w:r>
            <w:r w:rsidR="00300E9C" w:rsidRPr="00B4097F">
              <w:rPr>
                <w:lang/>
              </w:rPr>
              <w:t xml:space="preserve"> из </w:t>
            </w:r>
            <w:r w:rsidR="00300E9C" w:rsidRPr="00B4097F">
              <w:rPr>
                <w:i/>
                <w:lang/>
              </w:rPr>
              <w:t>Педагошке праксе 1</w:t>
            </w:r>
            <w:r w:rsidR="00300E9C" w:rsidRPr="00B4097F">
              <w:rPr>
                <w:lang/>
              </w:rPr>
              <w:t xml:space="preserve"> са новостеченим искуством. Специфичност </w:t>
            </w:r>
            <w:r w:rsidR="00300E9C" w:rsidRPr="00B4097F">
              <w:rPr>
                <w:i/>
                <w:lang/>
              </w:rPr>
              <w:t>Педагошке праксе 2</w:t>
            </w:r>
            <w:r w:rsidR="00300E9C" w:rsidRPr="00B4097F">
              <w:rPr>
                <w:lang/>
              </w:rPr>
              <w:t xml:space="preserve"> огледа се и у томе што ће студенти моћи да прате часове </w:t>
            </w:r>
            <w:r w:rsidR="00172926" w:rsidRPr="00B4097F">
              <w:rPr>
                <w:lang/>
              </w:rPr>
              <w:t>на којима</w:t>
            </w:r>
            <w:r w:rsidR="00300E9C" w:rsidRPr="00B4097F">
              <w:rPr>
                <w:lang/>
              </w:rPr>
              <w:t xml:space="preserve"> ће доминантан наставни метод бити дебата</w:t>
            </w:r>
            <w:r w:rsidR="00300E9C" w:rsidRPr="00B4097F">
              <w:rPr>
                <w:i/>
                <w:lang/>
              </w:rPr>
              <w:t>. Педагошка пракса 2</w:t>
            </w:r>
            <w:r w:rsidR="00300E9C" w:rsidRPr="00B4097F">
              <w:rPr>
                <w:lang/>
              </w:rPr>
              <w:t xml:space="preserve"> представља интеграцију знања о новим дидактичким принципима и методама са оним сте</w:t>
            </w:r>
            <w:r w:rsidR="00300E9C" w:rsidRPr="00B4097F">
              <w:rPr>
                <w:lang/>
              </w:rPr>
              <w:t>ченим на претходној пракси.</w:t>
            </w:r>
          </w:p>
          <w:p w:rsidR="001C6855" w:rsidRPr="001C6855" w:rsidRDefault="001C6855" w:rsidP="001C6855">
            <w:pPr>
              <w:pStyle w:val="normal0"/>
              <w:jc w:val="both"/>
              <w:rPr>
                <w:color w:val="FF0000"/>
                <w:lang/>
              </w:rPr>
            </w:pPr>
          </w:p>
        </w:tc>
      </w:tr>
      <w:tr w:rsidR="001C6855" w:rsidTr="001C6855">
        <w:trPr>
          <w:trHeight w:val="140"/>
          <w:jc w:val="center"/>
        </w:trPr>
        <w:tc>
          <w:tcPr>
            <w:tcW w:w="10103" w:type="dxa"/>
            <w:gridSpan w:val="3"/>
            <w:tcBorders>
              <w:top w:val="single" w:sz="4" w:space="0" w:color="auto"/>
            </w:tcBorders>
            <w:vAlign w:val="center"/>
          </w:tcPr>
          <w:p w:rsidR="001C6855" w:rsidRPr="00B4097F" w:rsidRDefault="001C6855" w:rsidP="001C6855">
            <w:pPr>
              <w:pStyle w:val="normal0"/>
              <w:jc w:val="both"/>
              <w:rPr>
                <w:b/>
                <w:lang/>
              </w:rPr>
            </w:pPr>
            <w:r w:rsidRPr="00B4097F">
              <w:rPr>
                <w:b/>
                <w:lang/>
              </w:rPr>
              <w:t>Литература:</w:t>
            </w:r>
          </w:p>
          <w:p w:rsidR="001C6855" w:rsidRPr="00B4097F" w:rsidRDefault="001C6855" w:rsidP="001C6855">
            <w:pPr>
              <w:pStyle w:val="normal0"/>
              <w:jc w:val="both"/>
              <w:rPr>
                <w:b/>
                <w:lang/>
              </w:rPr>
            </w:pPr>
          </w:p>
          <w:p w:rsidR="001C6855" w:rsidRPr="00B4097F" w:rsidRDefault="001C6855" w:rsidP="001C6855">
            <w:pPr>
              <w:pStyle w:val="normal0"/>
              <w:jc w:val="both"/>
              <w:rPr>
                <w:lang/>
              </w:rPr>
            </w:pPr>
            <w:r w:rsidRPr="00B4097F">
              <w:rPr>
                <w:lang/>
              </w:rPr>
              <w:t>1.</w:t>
            </w:r>
            <w:r w:rsidR="00CB15A5" w:rsidRPr="00B4097F">
              <w:rPr>
                <w:lang/>
              </w:rPr>
              <w:t xml:space="preserve"> Панић, В. (1999) </w:t>
            </w:r>
            <w:r w:rsidR="00CB15A5" w:rsidRPr="00B4097F">
              <w:rPr>
                <w:i/>
                <w:lang/>
              </w:rPr>
              <w:t>Аксиологика: логика аргументације вредности</w:t>
            </w:r>
            <w:r w:rsidR="00CB15A5" w:rsidRPr="00B4097F">
              <w:rPr>
                <w:lang/>
              </w:rPr>
              <w:t>, Београд: ЗУНС. стр. 155-198</w:t>
            </w:r>
          </w:p>
          <w:p w:rsidR="00CB15A5" w:rsidRPr="00B4097F" w:rsidRDefault="00CB15A5" w:rsidP="001C6855">
            <w:pPr>
              <w:pStyle w:val="normal0"/>
              <w:jc w:val="both"/>
              <w:rPr>
                <w:lang/>
              </w:rPr>
            </w:pPr>
            <w:r w:rsidRPr="00B4097F">
              <w:rPr>
                <w:lang/>
              </w:rPr>
              <w:t xml:space="preserve">2. Макормик, Н. и Алекси, Р. (2018) </w:t>
            </w:r>
            <w:r w:rsidRPr="00B4097F">
              <w:rPr>
                <w:i/>
                <w:lang/>
              </w:rPr>
              <w:t>Право, аргументација, интерпретација</w:t>
            </w:r>
            <w:r w:rsidRPr="00B4097F">
              <w:rPr>
                <w:lang/>
              </w:rPr>
              <w:t>. Београд: ИФДТ. стр. 77-108</w:t>
            </w:r>
          </w:p>
          <w:p w:rsidR="00D267A5" w:rsidRPr="00B4097F" w:rsidRDefault="00D267A5" w:rsidP="001C6855">
            <w:pPr>
              <w:pStyle w:val="normal0"/>
              <w:jc w:val="both"/>
              <w:rPr>
                <w:lang/>
              </w:rPr>
            </w:pPr>
          </w:p>
          <w:p w:rsidR="00D267A5" w:rsidRPr="00B4097F" w:rsidRDefault="00D267A5" w:rsidP="001C6855">
            <w:pPr>
              <w:pStyle w:val="normal0"/>
              <w:jc w:val="both"/>
              <w:rPr>
                <w:lang/>
              </w:rPr>
            </w:pPr>
            <w:r w:rsidRPr="00B4097F">
              <w:rPr>
                <w:lang/>
              </w:rPr>
              <w:t xml:space="preserve">      Горенаведену литературу пратиће и преводи краћих текстова са енглеског језика које ће обезбедити предметни професор</w:t>
            </w:r>
          </w:p>
          <w:p w:rsidR="00CB15A5" w:rsidRPr="00D267A5" w:rsidRDefault="00CB15A5" w:rsidP="001C6855">
            <w:pPr>
              <w:pStyle w:val="normal0"/>
              <w:jc w:val="both"/>
              <w:rPr>
                <w:color w:val="000000"/>
                <w:lang/>
              </w:rPr>
            </w:pPr>
          </w:p>
          <w:p w:rsidR="00CB15A5" w:rsidRPr="00CB15A5" w:rsidRDefault="00CB15A5" w:rsidP="001C6855">
            <w:pPr>
              <w:pStyle w:val="normal0"/>
              <w:jc w:val="both"/>
              <w:rPr>
                <w:b/>
                <w:lang/>
              </w:rPr>
            </w:pPr>
          </w:p>
        </w:tc>
      </w:tr>
      <w:tr w:rsidR="00BA464A">
        <w:trPr>
          <w:trHeight w:val="227"/>
          <w:jc w:val="center"/>
        </w:trPr>
        <w:tc>
          <w:tcPr>
            <w:tcW w:w="3146" w:type="dxa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</w:t>
            </w:r>
          </w:p>
        </w:tc>
        <w:tc>
          <w:tcPr>
            <w:tcW w:w="3822" w:type="dxa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>
              <w:t>90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  <w:rPr>
                <w:b/>
                <w:lang/>
              </w:rPr>
            </w:pPr>
            <w:r>
              <w:rPr>
                <w:b/>
              </w:rPr>
              <w:t>Методе извођења наставе</w:t>
            </w:r>
          </w:p>
          <w:p w:rsidR="00BA464A" w:rsidRPr="00B4097F" w:rsidRDefault="004C5910" w:rsidP="004C5910">
            <w:pPr>
              <w:pStyle w:val="normal0"/>
              <w:tabs>
                <w:tab w:val="left" w:pos="567"/>
              </w:tabs>
              <w:spacing w:after="60"/>
              <w:ind w:firstLine="567"/>
              <w:jc w:val="both"/>
              <w:rPr>
                <w:b/>
                <w:lang/>
              </w:rPr>
            </w:pPr>
            <w:r w:rsidRPr="00B4097F">
              <w:t>Током трајања педагошке праксе студент самостално прати и евалуира процес исте, након чега предметном наставнику у форми писаног извештаја износи запажања и стечене увиде из самог наставног процеса. Садржајем је предвиђена и усмена анализа и консултатитвни рад са предметним професором.</w:t>
            </w:r>
            <w:r w:rsidRPr="00B4097F">
              <w:rPr>
                <w:lang/>
              </w:rPr>
              <w:t xml:space="preserve"> Акценат, приликом писања извештаја и усмене анализе, треба поставити на упоређивање искустава из претходне са искуствима из садашње праксе.</w:t>
            </w:r>
          </w:p>
        </w:tc>
      </w:tr>
      <w:tr w:rsidR="00BA464A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BA464A" w:rsidRDefault="002F5CE3">
            <w:pPr>
              <w:pStyle w:val="normal0"/>
              <w:tabs>
                <w:tab w:val="left" w:pos="567"/>
              </w:tabs>
              <w:spacing w:after="60"/>
              <w:rPr>
                <w:b/>
                <w:lang/>
              </w:rPr>
            </w:pPr>
            <w:r>
              <w:rPr>
                <w:b/>
              </w:rPr>
              <w:t>Оцена знања</w:t>
            </w:r>
          </w:p>
          <w:p w:rsidR="004C5910" w:rsidRPr="00B4097F" w:rsidRDefault="004C5910" w:rsidP="004C5910">
            <w:pPr>
              <w:pStyle w:val="normal0"/>
              <w:tabs>
                <w:tab w:val="left" w:pos="567"/>
              </w:tabs>
              <w:spacing w:after="60"/>
              <w:ind w:firstLine="567"/>
              <w:rPr>
                <w:lang/>
              </w:rPr>
            </w:pPr>
            <w:r w:rsidRPr="00B4097F">
              <w:t>Након похађања и обављања  педагошке праксе, успех студента се не изражава бројем поена, односно бројчаном оценом, већ се оцењује са „положио“ / „није положио“.</w:t>
            </w:r>
          </w:p>
        </w:tc>
      </w:tr>
    </w:tbl>
    <w:p w:rsidR="00BA464A" w:rsidRDefault="00BA464A">
      <w:pPr>
        <w:pStyle w:val="normal0"/>
        <w:jc w:val="center"/>
      </w:pPr>
    </w:p>
    <w:sectPr w:rsidR="00BA464A" w:rsidSect="00BA46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CE3" w:rsidRDefault="002F5CE3" w:rsidP="00BA464A">
      <w:r>
        <w:separator/>
      </w:r>
    </w:p>
  </w:endnote>
  <w:endnote w:type="continuationSeparator" w:id="0">
    <w:p w:rsidR="002F5CE3" w:rsidRDefault="002F5CE3" w:rsidP="00BA4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BA464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BA464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BA464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CE3" w:rsidRDefault="002F5CE3" w:rsidP="00BA464A">
      <w:r>
        <w:separator/>
      </w:r>
    </w:p>
  </w:footnote>
  <w:footnote w:type="continuationSeparator" w:id="0">
    <w:p w:rsidR="002F5CE3" w:rsidRDefault="002F5CE3" w:rsidP="00BA4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BA464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2F5CE3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34"/>
      <w:gridCol w:w="6368"/>
      <w:gridCol w:w="1656"/>
    </w:tblGrid>
    <w:tr w:rsidR="00BA464A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BA464A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BA464A" w:rsidRDefault="00BA464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BA464A" w:rsidRDefault="00BA464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BA464A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BA464A" w:rsidRDefault="00BA464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BA464A" w:rsidRDefault="002F5CE3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филозофије</w:t>
          </w:r>
        </w:p>
      </w:tc>
      <w:tc>
        <w:tcPr>
          <w:tcW w:w="1656" w:type="dxa"/>
          <w:vMerge/>
          <w:vAlign w:val="center"/>
        </w:tcPr>
        <w:p w:rsidR="00BA464A" w:rsidRDefault="00BA464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BA464A" w:rsidRDefault="002F5CE3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64A" w:rsidRDefault="00BA464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464A"/>
    <w:rsid w:val="00122940"/>
    <w:rsid w:val="00172926"/>
    <w:rsid w:val="001875D6"/>
    <w:rsid w:val="001C6855"/>
    <w:rsid w:val="002C7E83"/>
    <w:rsid w:val="002F5CE3"/>
    <w:rsid w:val="00300E9C"/>
    <w:rsid w:val="00381CFA"/>
    <w:rsid w:val="00481C3A"/>
    <w:rsid w:val="004C5910"/>
    <w:rsid w:val="0082244E"/>
    <w:rsid w:val="009F68EC"/>
    <w:rsid w:val="00A41FD1"/>
    <w:rsid w:val="00AC62DD"/>
    <w:rsid w:val="00AD7C21"/>
    <w:rsid w:val="00B4097F"/>
    <w:rsid w:val="00BA464A"/>
    <w:rsid w:val="00CB15A5"/>
    <w:rsid w:val="00D267A5"/>
    <w:rsid w:val="00F2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BA464A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BA46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A46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A464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A46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BA464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A464A"/>
  </w:style>
  <w:style w:type="paragraph" w:styleId="Title">
    <w:name w:val="Title"/>
    <w:basedOn w:val="normal0"/>
    <w:next w:val="normal0"/>
    <w:rsid w:val="00BA464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A46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A46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BA464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24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4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</cp:lastModifiedBy>
  <cp:revision>13</cp:revision>
  <dcterms:created xsi:type="dcterms:W3CDTF">2023-09-20T16:01:00Z</dcterms:created>
  <dcterms:modified xsi:type="dcterms:W3CDTF">2023-09-20T17:07:00Z</dcterms:modified>
</cp:coreProperties>
</file>